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50451" w14:textId="77777777" w:rsidR="00ED1175" w:rsidRPr="00491995" w:rsidRDefault="00ED1175" w:rsidP="00ED1175">
      <w:pPr>
        <w:pStyle w:val="a3"/>
        <w:numPr>
          <w:ilvl w:val="0"/>
          <w:numId w:val="1"/>
        </w:numPr>
        <w:tabs>
          <w:tab w:val="left" w:pos="1530"/>
        </w:tabs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491995">
        <w:rPr>
          <w:rFonts w:ascii="Times New Roman" w:hAnsi="Times New Roman" w:cs="Times New Roman"/>
          <w:b/>
          <w:sz w:val="30"/>
          <w:szCs w:val="30"/>
        </w:rPr>
        <w:t>КАДРОВЫЙ НАУЧНЫЙ ПОТЕНЦИАЛ</w:t>
      </w:r>
    </w:p>
    <w:p w14:paraId="61D366C6" w14:textId="77777777" w:rsidR="00ED1175" w:rsidRPr="002240C1" w:rsidRDefault="00ED1175" w:rsidP="00ED117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По данным Национального статистического комитета Республики Беларусь, к началу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>2022 года в нашей стране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число организаций, которые занимались проведением научных исследований и разработок, составило 445</w:t>
      </w:r>
      <w:r w:rsidRPr="002240C1">
        <w:rPr>
          <w:rFonts w:ascii="Times New Roman" w:hAnsi="Times New Roman" w:cs="Times New Roman"/>
          <w:sz w:val="30"/>
          <w:szCs w:val="30"/>
        </w:rPr>
        <w:t>. В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сфере научных исследований и разработок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было занято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25 644</w:t>
      </w:r>
      <w:r>
        <w:rPr>
          <w:rFonts w:ascii="Times New Roman" w:hAnsi="Times New Roman" w:cs="Times New Roman"/>
          <w:sz w:val="30"/>
          <w:szCs w:val="30"/>
        </w:rPr>
        <w:t xml:space="preserve"> человека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(в 2020 году – 25 622).</w:t>
      </w:r>
      <w:r w:rsidRPr="002240C1"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Из них научные исследования проводили </w:t>
      </w:r>
      <w:r w:rsidRPr="002240C1">
        <w:rPr>
          <w:rFonts w:ascii="Times New Roman" w:hAnsi="Times New Roman" w:cs="Times New Roman"/>
          <w:b/>
          <w:sz w:val="30"/>
          <w:szCs w:val="30"/>
        </w:rPr>
        <w:t>16 321</w:t>
      </w:r>
      <w:r w:rsidRPr="002240C1">
        <w:rPr>
          <w:rFonts w:ascii="Times New Roman" w:hAnsi="Times New Roman" w:cs="Times New Roman"/>
          <w:sz w:val="30"/>
          <w:szCs w:val="30"/>
        </w:rPr>
        <w:t xml:space="preserve"> чел.</w:t>
      </w:r>
    </w:p>
    <w:p w14:paraId="061AA17C" w14:textId="77777777" w:rsidR="00ED1175" w:rsidRPr="002240C1" w:rsidRDefault="00ED1175" w:rsidP="00ED117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Количество исследователей, имеющих ученую степень доктора наук, составляло </w:t>
      </w:r>
      <w:r w:rsidRPr="002240C1">
        <w:rPr>
          <w:rFonts w:ascii="Times New Roman" w:hAnsi="Times New Roman" w:cs="Times New Roman"/>
          <w:b/>
          <w:sz w:val="30"/>
          <w:szCs w:val="30"/>
        </w:rPr>
        <w:t>548</w:t>
      </w:r>
      <w:r w:rsidRPr="002240C1">
        <w:rPr>
          <w:rFonts w:ascii="Times New Roman" w:hAnsi="Times New Roman" w:cs="Times New Roman"/>
          <w:sz w:val="30"/>
          <w:szCs w:val="30"/>
        </w:rPr>
        <w:t xml:space="preserve"> чел., ученую степень кандидата наук – </w:t>
      </w:r>
      <w:r w:rsidRPr="002240C1">
        <w:rPr>
          <w:rFonts w:ascii="Times New Roman" w:hAnsi="Times New Roman" w:cs="Times New Roman"/>
          <w:b/>
          <w:sz w:val="30"/>
          <w:szCs w:val="30"/>
        </w:rPr>
        <w:t>2 624</w:t>
      </w:r>
      <w:r w:rsidRPr="002240C1">
        <w:rPr>
          <w:rFonts w:ascii="Times New Roman" w:hAnsi="Times New Roman" w:cs="Times New Roman"/>
          <w:sz w:val="30"/>
          <w:szCs w:val="30"/>
        </w:rPr>
        <w:t xml:space="preserve"> чел. </w:t>
      </w:r>
    </w:p>
    <w:p w14:paraId="46B1C692" w14:textId="77777777" w:rsidR="00ED1175" w:rsidRPr="002240C1" w:rsidRDefault="00ED1175" w:rsidP="00ED117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Молодые люди в возрасте до 29 лет (включительно) составляют </w:t>
      </w:r>
      <w:r w:rsidRPr="002240C1">
        <w:rPr>
          <w:rFonts w:ascii="Times New Roman" w:hAnsi="Times New Roman" w:cs="Times New Roman"/>
          <w:b/>
          <w:sz w:val="30"/>
          <w:szCs w:val="30"/>
        </w:rPr>
        <w:t>20,7%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 общего числа исследователей.</w:t>
      </w:r>
    </w:p>
    <w:p w14:paraId="2D1BB58B" w14:textId="77777777" w:rsidR="00ED1175" w:rsidRPr="002240C1" w:rsidRDefault="00ED1175" w:rsidP="00ED1175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1B105B8E" w14:textId="77777777" w:rsidR="00ED1175" w:rsidRPr="002240C1" w:rsidRDefault="00ED1175" w:rsidP="00ED1175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pacing w:val="-4"/>
          <w:sz w:val="28"/>
          <w:szCs w:val="28"/>
        </w:rPr>
        <w:t>В 2021 году в докторантуре и аспирантуре обучалось 700 и 4 067 чел.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соответственно. Средний возраст соискателей ученой степени кандидата наук – 36,9 года, доктора наук – 50,2 года. Ученая степень доктора наук присуждена 37 гражданам Республики Беларусь, кандидата наук – 315.</w:t>
      </w:r>
    </w:p>
    <w:p w14:paraId="5D952A0E" w14:textId="77777777" w:rsidR="00ED1175" w:rsidRPr="002240C1" w:rsidRDefault="00ED1175" w:rsidP="00ED1175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Основной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кадровый научный потенциал сосредоточен в отраслевой </w:t>
      </w:r>
      <w:r w:rsidRPr="002240C1">
        <w:rPr>
          <w:rFonts w:ascii="Times New Roman" w:hAnsi="Times New Roman" w:cs="Times New Roman"/>
          <w:i/>
          <w:sz w:val="30"/>
          <w:szCs w:val="30"/>
        </w:rPr>
        <w:t>(Министерство промышленности – 7 тыс. чел. и Государственный военно-промышленный комитет – 3,1 тыс. чел.)</w:t>
      </w:r>
      <w:r w:rsidRPr="002240C1">
        <w:rPr>
          <w:rFonts w:ascii="Times New Roman" w:hAnsi="Times New Roman" w:cs="Times New Roman"/>
          <w:sz w:val="30"/>
          <w:szCs w:val="30"/>
        </w:rPr>
        <w:t xml:space="preserve">, </w:t>
      </w:r>
      <w:r w:rsidRPr="002240C1">
        <w:rPr>
          <w:rFonts w:ascii="Times New Roman" w:hAnsi="Times New Roman" w:cs="Times New Roman"/>
          <w:b/>
          <w:sz w:val="30"/>
          <w:szCs w:val="30"/>
        </w:rPr>
        <w:t>академической сферах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30"/>
          <w:szCs w:val="30"/>
        </w:rPr>
        <w:t>(Национальная академия наук Беларуси – 7,2 тыс. чел.)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в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Министерстве образования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30"/>
          <w:szCs w:val="30"/>
        </w:rPr>
        <w:t>(1,8 тыс. чел.)</w:t>
      </w:r>
      <w:r w:rsidRPr="002240C1">
        <w:rPr>
          <w:rFonts w:ascii="Times New Roman" w:hAnsi="Times New Roman" w:cs="Times New Roman"/>
          <w:sz w:val="30"/>
          <w:szCs w:val="30"/>
        </w:rPr>
        <w:t xml:space="preserve">,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Министерстве здравоохранения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30"/>
          <w:szCs w:val="30"/>
        </w:rPr>
        <w:t>(1,2 тыс. чел.)</w:t>
      </w:r>
      <w:r w:rsidRPr="002240C1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3E7B4243" w14:textId="77777777" w:rsidR="00ED1175" w:rsidRPr="002240C1" w:rsidRDefault="00ED1175" w:rsidP="00ED1175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B11A8C">
        <w:rPr>
          <w:rFonts w:ascii="Times New Roman" w:hAnsi="Times New Roman" w:cs="Times New Roman"/>
          <w:sz w:val="30"/>
          <w:szCs w:val="30"/>
        </w:rPr>
        <w:t xml:space="preserve">В Беларуси работают </w:t>
      </w:r>
      <w:r>
        <w:rPr>
          <w:rFonts w:ascii="Times New Roman" w:hAnsi="Times New Roman" w:cs="Times New Roman"/>
          <w:sz w:val="30"/>
          <w:szCs w:val="30"/>
        </w:rPr>
        <w:t xml:space="preserve">ученые с мировыми именами. </w:t>
      </w:r>
      <w:r w:rsidRPr="002240C1">
        <w:rPr>
          <w:rFonts w:ascii="Times New Roman" w:hAnsi="Times New Roman" w:cs="Times New Roman"/>
          <w:sz w:val="30"/>
          <w:szCs w:val="30"/>
        </w:rPr>
        <w:t xml:space="preserve">Многие </w:t>
      </w:r>
      <w:r>
        <w:rPr>
          <w:rFonts w:ascii="Times New Roman" w:hAnsi="Times New Roman" w:cs="Times New Roman"/>
          <w:sz w:val="30"/>
          <w:szCs w:val="30"/>
        </w:rPr>
        <w:t xml:space="preserve">белорусские </w:t>
      </w:r>
      <w:r w:rsidRPr="002240C1">
        <w:rPr>
          <w:rFonts w:ascii="Times New Roman" w:hAnsi="Times New Roman" w:cs="Times New Roman"/>
          <w:sz w:val="30"/>
          <w:szCs w:val="30"/>
        </w:rPr>
        <w:t>научные школы широко известны далеко за пределами нашей страны. В их числе:</w:t>
      </w:r>
    </w:p>
    <w:p w14:paraId="19A9E2C1" w14:textId="77777777" w:rsidR="00ED1175" w:rsidRPr="002240C1" w:rsidRDefault="00ED1175" w:rsidP="00ED1175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школа в области трансплантологии органов и тканей (Минский научно-практический центр хирургии, трансплантологии и гематологии, руководитель – член-корреспондент НАН Беларуси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Руммо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О.О.);</w:t>
      </w:r>
    </w:p>
    <w:p w14:paraId="256CB47F" w14:textId="77777777" w:rsidR="00ED1175" w:rsidRPr="002240C1" w:rsidRDefault="00ED1175" w:rsidP="00ED1175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в области квантовых исследований и разработок (Институт физики им</w:t>
      </w:r>
      <w:r>
        <w:rPr>
          <w:rFonts w:ascii="Times New Roman" w:hAnsi="Times New Roman" w:cs="Times New Roman"/>
          <w:sz w:val="30"/>
          <w:szCs w:val="30"/>
        </w:rPr>
        <w:t>ени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Б.И.Степанова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НАН Беларуси, руководитель 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академик НАН Беларуси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Килин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С.Я.); </w:t>
      </w:r>
    </w:p>
    <w:p w14:paraId="56553052" w14:textId="77777777" w:rsidR="00ED1175" w:rsidRPr="002240C1" w:rsidRDefault="00ED1175" w:rsidP="00ED1175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школа компьютерного моделирования и расчета машин и их компонентов (цифровые технологии в машиностроении) (Объединенный институт машиностроения НАН Беларуси, руководитель – член-корреспондент НАН Беларуси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Федосюк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В.М.);</w:t>
      </w:r>
    </w:p>
    <w:p w14:paraId="1D2B9EDF" w14:textId="77777777" w:rsidR="00ED1175" w:rsidRPr="002240C1" w:rsidRDefault="00ED1175" w:rsidP="00ED1175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нейрофизиологическая школа (Институт физиологии НАН Беларуси, научный руководитель – академик НАН Беларуси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Кульчицкий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В.А.);</w:t>
      </w:r>
    </w:p>
    <w:p w14:paraId="2D7A85C3" w14:textId="77777777" w:rsidR="00ED1175" w:rsidRPr="002240C1" w:rsidRDefault="00ED1175" w:rsidP="00ED1175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школа по инженерии поверхности (Физико-технический институт НАН Беларуси, руководители – академик Коновалов Е.Г., член-корреспонденты Гурский Л.И.,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Точицкий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Э.И. и др.) и др.</w:t>
      </w:r>
    </w:p>
    <w:p w14:paraId="506A5EE2" w14:textId="77777777" w:rsidR="00ED1175" w:rsidRPr="002240C1" w:rsidRDefault="00ED1175" w:rsidP="00ED1175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lastRenderedPageBreak/>
        <w:t>В Беларуси в отличие от других стран постсоветского пространства не пошли по пути радикальных реформ и сохранили государственную поддержку науки. В нашей стране доля бюджетного финансирования</w:t>
      </w:r>
      <w:r>
        <w:rPr>
          <w:rFonts w:ascii="Times New Roman" w:hAnsi="Times New Roman" w:cs="Times New Roman"/>
          <w:sz w:val="30"/>
          <w:szCs w:val="30"/>
        </w:rPr>
        <w:t xml:space="preserve"> в разные годы составляет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до половины всех средств.</w:t>
      </w:r>
    </w:p>
    <w:p w14:paraId="1BC6E42A" w14:textId="77777777" w:rsidR="00ED1175" w:rsidRPr="002240C1" w:rsidRDefault="00ED1175" w:rsidP="00ED1175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2021 году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в общем объеме внутренних затрат на научные исследования и разработки доля бюджетных средств составила 41,9%</w:t>
      </w:r>
      <w:r w:rsidRPr="002240C1">
        <w:rPr>
          <w:rFonts w:ascii="Times New Roman" w:eastAsia="Calibri" w:hAnsi="Times New Roman" w:cs="Times New Roman"/>
          <w:sz w:val="30"/>
          <w:szCs w:val="30"/>
        </w:rPr>
        <w:t>, собственных средств организаций – 35,6%, средств иностранных инвесторов – 9,2%, других источников – 13,3%.</w:t>
      </w:r>
    </w:p>
    <w:p w14:paraId="382BCD7D" w14:textId="77777777" w:rsidR="00ED1175" w:rsidRPr="002240C1" w:rsidRDefault="00ED1175" w:rsidP="00ED1175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Наибольший объем средств республиканского бюджета приходится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фундаментальные и прикладные научные исследования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(34,5%),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проведение НИОК(Т)Р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выполняемых в рамках государственных программ (далее – ГП) и научно-технических программ (далее – НТП) (24,5%),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подготовку и аттестацию научных работников высшей квалификации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(6,9%).</w:t>
      </w:r>
    </w:p>
    <w:p w14:paraId="03771107" w14:textId="77777777" w:rsidR="00ED1175" w:rsidRPr="002240C1" w:rsidRDefault="00ED1175" w:rsidP="00ED1175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</w:rPr>
      </w:pPr>
      <w:proofErr w:type="spellStart"/>
      <w:r w:rsidRPr="002240C1">
        <w:rPr>
          <w:rFonts w:ascii="Times New Roman" w:eastAsia="Calibri" w:hAnsi="Times New Roman" w:cs="Times New Roman"/>
          <w:b/>
          <w:i/>
          <w:sz w:val="28"/>
        </w:rPr>
        <w:t>Справочно</w:t>
      </w:r>
      <w:proofErr w:type="spellEnd"/>
      <w:r w:rsidRPr="002240C1">
        <w:rPr>
          <w:rFonts w:ascii="Times New Roman" w:eastAsia="Calibri" w:hAnsi="Times New Roman" w:cs="Times New Roman"/>
          <w:b/>
          <w:i/>
          <w:sz w:val="28"/>
        </w:rPr>
        <w:t>:</w:t>
      </w:r>
    </w:p>
    <w:p w14:paraId="09D4DA24" w14:textId="77777777" w:rsidR="00ED1175" w:rsidRPr="002240C1" w:rsidRDefault="00ED1175" w:rsidP="00ED1175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i/>
          <w:sz w:val="28"/>
        </w:rPr>
        <w:t xml:space="preserve">Основной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объем средств (60,5%) направлен на </w:t>
      </w:r>
      <w:r w:rsidRPr="00594E95">
        <w:rPr>
          <w:rFonts w:ascii="Times New Roman" w:eastAsia="Calibri" w:hAnsi="Times New Roman" w:cs="Times New Roman"/>
          <w:b/>
          <w:i/>
          <w:spacing w:val="-8"/>
          <w:sz w:val="28"/>
        </w:rPr>
        <w:t>финансирование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 работ по </w:t>
      </w:r>
      <w:r w:rsidRPr="00594E95">
        <w:rPr>
          <w:rFonts w:ascii="Times New Roman" w:eastAsia="Calibri" w:hAnsi="Times New Roman" w:cs="Times New Roman"/>
          <w:b/>
          <w:i/>
          <w:spacing w:val="-10"/>
          <w:sz w:val="28"/>
        </w:rPr>
        <w:t>приоритетным направлениям</w:t>
      </w:r>
      <w:proofErr w:type="gramStart"/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:</w:t>
      </w:r>
      <w:r>
        <w:rPr>
          <w:rFonts w:ascii="Times New Roman" w:eastAsia="Calibri" w:hAnsi="Times New Roman" w:cs="Times New Roman"/>
          <w:i/>
          <w:spacing w:val="-10"/>
          <w:sz w:val="28"/>
        </w:rPr>
        <w:t xml:space="preserve"> </w:t>
      </w:r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”машиностроение</w:t>
      </w:r>
      <w:proofErr w:type="gramEnd"/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, машиностроительные технологии, приборос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троение и инновационные материалы“ – 23,9%, ”энергетика,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строительство, экология и рациональное природопользование“</w:t>
      </w:r>
      <w:r>
        <w:rPr>
          <w:rFonts w:ascii="Times New Roman" w:eastAsia="Calibri" w:hAnsi="Times New Roman" w:cs="Times New Roman"/>
          <w:i/>
          <w:spacing w:val="-8"/>
          <w:sz w:val="28"/>
        </w:rPr>
        <w:t> 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– 18,9%, ”биолог</w:t>
      </w:r>
      <w:r w:rsidRPr="002240C1">
        <w:rPr>
          <w:rFonts w:ascii="Times New Roman" w:eastAsia="Calibri" w:hAnsi="Times New Roman" w:cs="Times New Roman"/>
          <w:i/>
          <w:sz w:val="28"/>
        </w:rPr>
        <w:t>ические, медицинские, фармацевтические и химические технологии и производства“ – 17,7%.</w:t>
      </w:r>
    </w:p>
    <w:p w14:paraId="45C14B14" w14:textId="77777777" w:rsidR="00ED1175" w:rsidRPr="00BB035F" w:rsidRDefault="00ED1175" w:rsidP="00ED117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BB035F">
        <w:rPr>
          <w:rFonts w:ascii="Times New Roman" w:hAnsi="Times New Roman" w:cs="Times New Roman"/>
          <w:spacing w:val="-6"/>
          <w:sz w:val="30"/>
          <w:szCs w:val="30"/>
        </w:rPr>
        <w:t>О внимании, уделяемом государством научной сфере, свидетельствует, наряду с прочим, прямое подчинение Главе государства Национальной академии наук Беларуси и Высшей аттестационной комиссии. Председатель Президиума НАН назначается Президентом и является членом Правительства. В то время как в подавляющем числе стран мира структуры аналогичные НАН обладают лишь статусом общественных объединений.</w:t>
      </w:r>
    </w:p>
    <w:p w14:paraId="5ABC828A" w14:textId="77777777" w:rsidR="005D15CD" w:rsidRDefault="005D15CD"/>
    <w:sectPr w:rsidR="005D1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F5845"/>
    <w:multiLevelType w:val="hybridMultilevel"/>
    <w:tmpl w:val="BED6A7D4"/>
    <w:lvl w:ilvl="0" w:tplc="2DB85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75"/>
    <w:rsid w:val="005A0FED"/>
    <w:rsid w:val="005D15CD"/>
    <w:rsid w:val="0095480E"/>
    <w:rsid w:val="00ED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D14A"/>
  <w15:chartTrackingRefBased/>
  <w15:docId w15:val="{650BB3D4-21A6-42B2-A002-FC002B4F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17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Климович Диана</dc:creator>
  <cp:keywords/>
  <dc:description/>
  <cp:lastModifiedBy>Климович Диана</cp:lastModifiedBy>
  <cp:revision>1</cp:revision>
  <dcterms:created xsi:type="dcterms:W3CDTF">2023-01-18T13:55:00Z</dcterms:created>
  <dcterms:modified xsi:type="dcterms:W3CDTF">2023-01-18T13:56:00Z</dcterms:modified>
</cp:coreProperties>
</file>