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D" w:rsidRDefault="00E2377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377D" w:rsidRDefault="00E2377D">
      <w:pPr>
        <w:pStyle w:val="ConsPlusNormal"/>
        <w:jc w:val="center"/>
        <w:outlineLvl w:val="0"/>
      </w:pPr>
    </w:p>
    <w:p w:rsidR="00E2377D" w:rsidRDefault="00E2377D">
      <w:pPr>
        <w:pStyle w:val="ConsPlusTitle"/>
        <w:jc w:val="center"/>
        <w:outlineLvl w:val="0"/>
      </w:pPr>
      <w:r>
        <w:t>ПРИКАЗ ГОСУДАРСТВЕННОГО КОМИТЕТА ПО НАУКЕ И ТЕХНОЛОГИЯМ РЕСПУБЛИКИ БЕЛАРУСЬ</w:t>
      </w:r>
    </w:p>
    <w:p w:rsidR="00E2377D" w:rsidRDefault="00E2377D">
      <w:pPr>
        <w:pStyle w:val="ConsPlusTitle"/>
        <w:jc w:val="center"/>
      </w:pPr>
      <w:r>
        <w:t>11 мая 2018 г. N 140</w:t>
      </w:r>
    </w:p>
    <w:p w:rsidR="00E2377D" w:rsidRDefault="00E2377D">
      <w:pPr>
        <w:pStyle w:val="ConsPlusTitle"/>
        <w:jc w:val="center"/>
      </w:pPr>
    </w:p>
    <w:p w:rsidR="00E2377D" w:rsidRDefault="00E2377D">
      <w:pPr>
        <w:pStyle w:val="ConsPlusTitle"/>
        <w:jc w:val="center"/>
      </w:pPr>
      <w:r>
        <w:t>ОБ УТВЕРЖДЕНИИ МЕТОДИЧЕСКИХ РЕКОМЕНДАЦИЙ ПО ИСПОЛЬЗОВАНИЮ СРЕДСТВ ФОНДОВ ИННОВАЦИОННОГО РАЗВИТИЯ, ФОРМИРУЕМЫХ НАУЧНО-ТЕХНОЛОГИЧЕСКИМИ ПАРКАМИ</w:t>
      </w:r>
    </w:p>
    <w:p w:rsidR="00E2377D" w:rsidRDefault="00E2377D">
      <w:pPr>
        <w:pStyle w:val="ConsPlusNormal"/>
        <w:jc w:val="center"/>
      </w:pPr>
    </w:p>
    <w:p w:rsidR="00E2377D" w:rsidRDefault="00E2377D">
      <w:pPr>
        <w:pStyle w:val="ConsPlusNormal"/>
        <w:ind w:firstLine="540"/>
        <w:jc w:val="both"/>
      </w:pPr>
      <w:r>
        <w:t xml:space="preserve">В соответствии с пунктом 6 Плана мероприятий по реализации </w:t>
      </w:r>
      <w:hyperlink r:id="rId7" w:history="1">
        <w:r>
          <w:rPr>
            <w:color w:val="0000FF"/>
          </w:rPr>
          <w:t>пункта 2</w:t>
        </w:r>
      </w:hyperlink>
      <w:r>
        <w:t xml:space="preserve"> Указа Президента Республики Беларусь от 12 марта 2018 г. N 105 "Об изменении указов Президента Республики Беларусь",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 xml:space="preserve"> В.С. 27 марта 2018 г., N 34/100-101/34, </w:t>
      </w:r>
      <w:hyperlink r:id="rId8" w:history="1">
        <w:r>
          <w:rPr>
            <w:color w:val="0000FF"/>
          </w:rPr>
          <w:t>подпунктами 3.4</w:t>
        </w:r>
      </w:hyperlink>
      <w:r>
        <w:t xml:space="preserve"> и </w:t>
      </w:r>
      <w:hyperlink r:id="rId9" w:history="1">
        <w:r>
          <w:rPr>
            <w:color w:val="0000FF"/>
          </w:rPr>
          <w:t>3.7 пункта 3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 "О Государственном комитете по науке и технологиям Республики Беларусь", ПРИКАЗЫВАЮ: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использованию средств фондов инновационного развития, формируемых научно-технологическими парками (далее - Методические рекомендации).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2. Рекомендовать научно-технологическим паркам при использовании средств формируемых ими фондов инновационного развития руководствоваться Методическими </w:t>
      </w:r>
      <w:hyperlink w:anchor="P25" w:history="1">
        <w:r>
          <w:rPr>
            <w:color w:val="0000FF"/>
          </w:rPr>
          <w:t>рекомендациями</w:t>
        </w:r>
      </w:hyperlink>
      <w:r>
        <w:t>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3. Управлению инновационной политики Государственного комитета по науке и технологиям Республики Беларусь в недельный срок довести настоящий приказ до сведения научно-технологических парков, а также республиканских органов государственного управления и иных государственных организаций, подчиненных Правительству Республики Беларусь, областных исполнительных комитетов, Минского городского исполнительного комитета, в подчинении (ведении, составе) которых находятся научно-технологические парки.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 А.А.</w:t>
      </w:r>
    </w:p>
    <w:p w:rsidR="00E2377D" w:rsidRDefault="00E237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37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377D" w:rsidRDefault="00E2377D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377D" w:rsidRDefault="00E2377D">
            <w:pPr>
              <w:pStyle w:val="ConsPlusNormal"/>
              <w:jc w:val="right"/>
            </w:pPr>
            <w:proofErr w:type="spellStart"/>
            <w:r>
              <w:t>А.Г.Шумилин</w:t>
            </w:r>
            <w:proofErr w:type="spellEnd"/>
          </w:p>
        </w:tc>
      </w:tr>
    </w:tbl>
    <w:p w:rsidR="00E2377D" w:rsidRDefault="00E2377D">
      <w:pPr>
        <w:pStyle w:val="ConsPlusNormal"/>
        <w:jc w:val="both"/>
      </w:pPr>
    </w:p>
    <w:p w:rsidR="00E2377D" w:rsidRDefault="00E2377D">
      <w:pPr>
        <w:pStyle w:val="ConsPlusNormal"/>
        <w:jc w:val="both"/>
      </w:pPr>
    </w:p>
    <w:p w:rsidR="00E2377D" w:rsidRDefault="00E2377D">
      <w:pPr>
        <w:pStyle w:val="ConsPlusNormal"/>
        <w:jc w:val="both"/>
      </w:pPr>
    </w:p>
    <w:p w:rsidR="00E2377D" w:rsidRDefault="00E2377D">
      <w:pPr>
        <w:pStyle w:val="ConsPlusNormal"/>
        <w:jc w:val="both"/>
      </w:pPr>
    </w:p>
    <w:p w:rsidR="00E2377D" w:rsidRDefault="00E2377D">
      <w:pPr>
        <w:pStyle w:val="ConsPlusNormal"/>
        <w:jc w:val="both"/>
      </w:pPr>
    </w:p>
    <w:p w:rsidR="00E2377D" w:rsidRDefault="00E2377D">
      <w:pPr>
        <w:pStyle w:val="ConsPlusNonformat"/>
        <w:jc w:val="both"/>
      </w:pPr>
      <w:r>
        <w:t xml:space="preserve">                                                    УТВЕРЖДЕНО</w:t>
      </w:r>
    </w:p>
    <w:p w:rsidR="00E2377D" w:rsidRDefault="00E2377D">
      <w:pPr>
        <w:pStyle w:val="ConsPlusNonformat"/>
        <w:jc w:val="both"/>
      </w:pPr>
      <w:r>
        <w:t xml:space="preserve">                                                    Приказ Государственного</w:t>
      </w:r>
    </w:p>
    <w:p w:rsidR="00E2377D" w:rsidRDefault="00E2377D">
      <w:pPr>
        <w:pStyle w:val="ConsPlusNonformat"/>
        <w:jc w:val="both"/>
      </w:pPr>
      <w:r>
        <w:t xml:space="preserve">                                                    комитета по науке и</w:t>
      </w:r>
    </w:p>
    <w:p w:rsidR="00E2377D" w:rsidRDefault="00E2377D">
      <w:pPr>
        <w:pStyle w:val="ConsPlusNonformat"/>
        <w:jc w:val="both"/>
      </w:pPr>
      <w:r>
        <w:t xml:space="preserve">                                                    технологиям Республики</w:t>
      </w:r>
    </w:p>
    <w:p w:rsidR="00E2377D" w:rsidRDefault="00E2377D">
      <w:pPr>
        <w:pStyle w:val="ConsPlusNonformat"/>
        <w:jc w:val="both"/>
      </w:pPr>
      <w:r>
        <w:t xml:space="preserve">                                                    Беларусь</w:t>
      </w:r>
    </w:p>
    <w:p w:rsidR="00E2377D" w:rsidRDefault="00E2377D">
      <w:pPr>
        <w:pStyle w:val="ConsPlusNonformat"/>
        <w:jc w:val="both"/>
      </w:pPr>
      <w:r>
        <w:t xml:space="preserve">                                                    11.05.2018 N 140</w:t>
      </w:r>
    </w:p>
    <w:p w:rsidR="00E2377D" w:rsidRDefault="00E2377D">
      <w:pPr>
        <w:pStyle w:val="ConsPlusNormal"/>
        <w:jc w:val="both"/>
      </w:pPr>
    </w:p>
    <w:p w:rsidR="00E2377D" w:rsidRDefault="00E2377D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E2377D" w:rsidRDefault="00E2377D">
      <w:pPr>
        <w:pStyle w:val="ConsPlusTitle"/>
        <w:jc w:val="center"/>
      </w:pPr>
      <w:r>
        <w:t>ПО ИСПОЛЬЗОВАНИЮ СРЕДСТВ ФОНДОВ ИННОВАЦИОННОГО РАЗВИТИЯ, ФОРМИРУЕМЫХ НАУЧНО-ТЕХНОЛОГИЧЕСКИМИ ПАРКАМИ</w:t>
      </w:r>
    </w:p>
    <w:p w:rsidR="00E2377D" w:rsidRDefault="00E2377D">
      <w:pPr>
        <w:pStyle w:val="ConsPlusNormal"/>
        <w:jc w:val="center"/>
      </w:pPr>
    </w:p>
    <w:p w:rsidR="00E2377D" w:rsidRDefault="00E2377D">
      <w:pPr>
        <w:pStyle w:val="ConsPlusNormal"/>
        <w:jc w:val="center"/>
        <w:outlineLvl w:val="1"/>
      </w:pPr>
      <w:r>
        <w:t>ГЛАВА 1</w:t>
      </w:r>
    </w:p>
    <w:p w:rsidR="00E2377D" w:rsidRDefault="00E2377D">
      <w:pPr>
        <w:pStyle w:val="ConsPlusNormal"/>
        <w:jc w:val="center"/>
      </w:pPr>
      <w:r>
        <w:t>ОБЩИЕ ПОЛОЖЕНИЯ</w:t>
      </w:r>
    </w:p>
    <w:p w:rsidR="00E2377D" w:rsidRDefault="00E2377D">
      <w:pPr>
        <w:pStyle w:val="ConsPlusNormal"/>
        <w:jc w:val="center"/>
      </w:pPr>
    </w:p>
    <w:p w:rsidR="00E2377D" w:rsidRDefault="00E2377D">
      <w:pPr>
        <w:pStyle w:val="ConsPlusNormal"/>
        <w:ind w:firstLine="540"/>
        <w:jc w:val="both"/>
      </w:pPr>
      <w:r>
        <w:t>1. Настоящие Методические рекомендации: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lastRenderedPageBreak/>
        <w:t xml:space="preserve">разработаны в соответствии с пунктом 6 Плана мероприятий по реализации </w:t>
      </w:r>
      <w:hyperlink r:id="rId10" w:history="1">
        <w:r>
          <w:rPr>
            <w:color w:val="0000FF"/>
          </w:rPr>
          <w:t>пункта 2</w:t>
        </w:r>
      </w:hyperlink>
      <w:r>
        <w:t xml:space="preserve"> Указа Президента Республики Беларусь от 12 марта 2018 г. N 105 "Об изменении указов Президента Республики Беларусь",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 xml:space="preserve"> В.С. 27 марта 2018 г., N 34/100-101/34, </w:t>
      </w:r>
      <w:hyperlink r:id="rId11" w:history="1">
        <w:r>
          <w:rPr>
            <w:color w:val="0000FF"/>
          </w:rPr>
          <w:t>подпунктами 3.4</w:t>
        </w:r>
      </w:hyperlink>
      <w:r>
        <w:t xml:space="preserve"> и </w:t>
      </w:r>
      <w:hyperlink r:id="rId12" w:history="1">
        <w:r>
          <w:rPr>
            <w:color w:val="0000FF"/>
          </w:rPr>
          <w:t>3.7 пункта 3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 "О Государственном комитете по науке и технологиям Республики Беларусь";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предназначены для научно-технологических парков, а также государственных органов, Национальной академии наук Беларуси, иных государственных организаций, подчиненных Правительству Республики Беларусь или Президенту Республики Беларусь, местных исполнительных и распорядительных органов, в подчинении (ведении </w:t>
      </w:r>
      <w:hyperlink w:anchor="P36" w:history="1">
        <w:r>
          <w:rPr>
            <w:color w:val="0000FF"/>
          </w:rPr>
          <w:t>&lt;1&gt;</w:t>
        </w:r>
      </w:hyperlink>
      <w:r>
        <w:t>, составе) которых находятся научно-технологические парки (далее - соответствующий орган), при определении научно-технологическими парками по согласованию с соответствующими органами и Государственным комитетом по науке и технологиям Республики Беларусь (далее - ГКНТ) порядка использования средств формируемых ими фондов инновационного развития, в том числе условии их выделения резидентам научно-технологического парка на безвозвратной основе или в виде займов;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направлены на обеспечение единства методологии использования средств фондов инновационного развития, формируемых научно-технологическими парками (далее - фонд) в соответствии с </w:t>
      </w:r>
      <w:hyperlink r:id="rId13" w:history="1">
        <w:r>
          <w:rPr>
            <w:color w:val="0000FF"/>
          </w:rPr>
          <w:t>подпунктом 2.1 пункта 2</w:t>
        </w:r>
      </w:hyperlink>
      <w:r>
        <w:t xml:space="preserve"> Указа Президента Республики Беларусь от 3 января 2007 г. N 1 "Об утверждении Положения о порядке создания субъектов инновационной инфраструктуры" (в редакции Указа Президента Республики Беларусь от 12 марта 2018 г. N 105 "Об изменении указов Президента Республики Беларусь").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77D" w:rsidRDefault="00E2377D">
      <w:pPr>
        <w:pStyle w:val="ConsPlusNormal"/>
        <w:spacing w:before="220"/>
        <w:ind w:firstLine="540"/>
        <w:jc w:val="both"/>
      </w:pPr>
      <w:bookmarkStart w:id="1" w:name="P36"/>
      <w:bookmarkEnd w:id="1"/>
      <w:r>
        <w:t>&lt;1&gt; Для целей настоящих Методических рекомендаций под научно-технологическими парками, находящимися в ведении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Беларусь, понимаются научно-технологические парки, учредителями которых являются юридические лица (их дочерние организации), находящиеся в подчинении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Беларусь.</w:t>
      </w:r>
    </w:p>
    <w:p w:rsidR="00E2377D" w:rsidRDefault="00E2377D">
      <w:pPr>
        <w:pStyle w:val="ConsPlusNormal"/>
        <w:ind w:firstLine="540"/>
        <w:jc w:val="both"/>
      </w:pPr>
    </w:p>
    <w:p w:rsidR="00E2377D" w:rsidRDefault="00E2377D">
      <w:pPr>
        <w:pStyle w:val="ConsPlusNormal"/>
        <w:ind w:firstLine="540"/>
        <w:jc w:val="both"/>
      </w:pPr>
      <w:r>
        <w:t>2. В настоящих Методических рекомендациях используются следующие термины и их определения: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инновационная деятельность - деятельность по преобразованию новшества в инновацию;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мероприятие - комплекс работ (услуг), направленных на осуществление научно-технологическим парком его основного направления деятельности в соответствии с </w:t>
      </w:r>
      <w:hyperlink r:id="rId14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5" w:history="1">
        <w:r>
          <w:rPr>
            <w:color w:val="0000FF"/>
          </w:rPr>
          <w:t>второй статьи 26</w:t>
        </w:r>
      </w:hyperlink>
      <w: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научно-технологический парк - субъект инновационной инфраструктуры, имеющий среднесписочную численность работников до 100 человек, целью деятельности которого являются содействие развитию предпринимательства в научной, научно-технической, инновационной сферах и создание условий для осуществления юридическими лицами и индивидуальными предпринимателями, являющимися резидентами научно-технологического парка, инновационной деятельности;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резидент научно-технологического парка - юридическое лицо или индивидуальный </w:t>
      </w:r>
      <w:bookmarkStart w:id="2" w:name="_GoBack"/>
      <w:bookmarkEnd w:id="2"/>
      <w:r>
        <w:lastRenderedPageBreak/>
        <w:t>предприниматель, осуществляющие инновационную деятельность с использованием предоставленного научно-технологическим парком движимого и недвижимого имущества, в том числе помещений различного функционального назначения, и оказываемых научно-технологическим парком услуг (выполняемых работ), пользующиеся статусом резидента на основании решения органов управления научно-технологического парка.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Иные термины и их определения используются в значениях, установленных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Беларусь "О государственной инновационной политике и инновационной деятельности в Республике Беларусь" и другими актами законодательства Республики Беларусь.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3. Средства фондов являются внебюджетными, зачисляются на специальные счета, открываемые в банках Республики Беларусь в соответствии со </w:t>
      </w:r>
      <w:hyperlink r:id="rId17" w:history="1">
        <w:r>
          <w:rPr>
            <w:color w:val="0000FF"/>
          </w:rPr>
          <w:t>статьей 207-1</w:t>
        </w:r>
      </w:hyperlink>
      <w:r>
        <w:t xml:space="preserve"> Банковского кодекса Республики Беларусь, и используются по направлениям, указанным в </w:t>
      </w:r>
      <w:hyperlink r:id="rId18" w:history="1">
        <w:r>
          <w:rPr>
            <w:color w:val="0000FF"/>
          </w:rPr>
          <w:t>части третьей подпункта 2.1 пункта 2</w:t>
        </w:r>
      </w:hyperlink>
      <w:r>
        <w:t xml:space="preserve"> Указа Президента Республики Беларусь от 3 января 2007 г. N 1.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4. При использовании средств фонда на организацию деятельности научно-технологического парка по направлению "организация деятельности и развитие материально-технической базы научно-технологического парка, включая капитальные расходы" отнесение работ (услуг) к организации деятельности научно-технологического парка осуществляется исходя из их направленности на обеспечение научно-технологическим парком основного направления его деятельности в соответствии с </w:t>
      </w:r>
      <w:hyperlink r:id="rId19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0" w:history="1">
        <w:r>
          <w:rPr>
            <w:color w:val="0000FF"/>
          </w:rPr>
          <w:t>второй статьи 26</w:t>
        </w:r>
      </w:hyperlink>
      <w:r>
        <w:t xml:space="preserve"> Закона Республики Беларусь "О государственной инновационной политике и инновационной деятельности в Республике Беларусь".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5. Объем выделяемых резидентам научно-технологического парка средств фонда для финансирования инновационных проектов, в том числе в виде займов, не зависит от объема произведенных данными резидентами отчислений в фонд.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6. Для рассмотрения материалов, необходимых для принятия решения об использовании средств фонда по направлениям, указанным в </w:t>
      </w:r>
      <w:hyperlink r:id="rId21" w:history="1">
        <w:r>
          <w:rPr>
            <w:color w:val="0000FF"/>
          </w:rPr>
          <w:t>части третьей подпункта 2.1 пункта 2</w:t>
        </w:r>
      </w:hyperlink>
      <w:r>
        <w:t xml:space="preserve"> Указа Президента Республики Беларусь от 3 января 2007 г. N 1, при научно-технологическом парке рекомендуется создать экспертный совет (далее - Совет), в состав которого могут входить представители научно-технологического парка, соответствующего органа, ГКНТ, иных организаций, ученые и высококвалифицированные специалисты.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Функции Совета могут быть возложены на действующие коллегиальные органы научно-технологического парка, созданные для других целей в соответствии с законодательством Республики Беларусь.</w:t>
      </w:r>
    </w:p>
    <w:p w:rsidR="00E2377D" w:rsidRDefault="00E2377D">
      <w:pPr>
        <w:pStyle w:val="ConsPlusNormal"/>
        <w:ind w:firstLine="540"/>
        <w:jc w:val="both"/>
      </w:pPr>
    </w:p>
    <w:p w:rsidR="00E2377D" w:rsidRDefault="00E2377D">
      <w:pPr>
        <w:pStyle w:val="ConsPlusNormal"/>
        <w:jc w:val="center"/>
        <w:outlineLvl w:val="1"/>
      </w:pPr>
      <w:r>
        <w:t>ГЛАВА 2</w:t>
      </w:r>
    </w:p>
    <w:p w:rsidR="00E2377D" w:rsidRDefault="00E2377D">
      <w:pPr>
        <w:pStyle w:val="ConsPlusNormal"/>
        <w:jc w:val="center"/>
      </w:pPr>
      <w:r>
        <w:t>ИСПОЛЬЗОВАНИЕ СРЕДСТВ ФОНДОВ</w:t>
      </w:r>
    </w:p>
    <w:p w:rsidR="00E2377D" w:rsidRDefault="00E2377D">
      <w:pPr>
        <w:pStyle w:val="ConsPlusNormal"/>
        <w:jc w:val="center"/>
      </w:pPr>
    </w:p>
    <w:p w:rsidR="00E2377D" w:rsidRDefault="00E2377D">
      <w:pPr>
        <w:pStyle w:val="ConsPlusNormal"/>
        <w:ind w:firstLine="540"/>
        <w:jc w:val="both"/>
      </w:pPr>
      <w:r>
        <w:t>7. Научно-технологическим парком в установленный им срок (но не реже одного раза в год) осуществляются: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формирование заявки на финансирование за счет средств фонда осуществляемых научно-технологическим парком мероприятий;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формирование заявки на финансирование за счет средств фонда организации его деятельности и развития материально-технической базы, включая капитальные расходы;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прием заявок резидентов данного парка на финансирование за счет средств фонда выполняемых ими инновационных проектов;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организация рассмотрения Советом заявок научно-технологического парка и его резидентов.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lastRenderedPageBreak/>
        <w:t>Формы заявок определяет научно-технологический парк. К заявкам прилагаются соответствующие обоснования.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8. Рассмотрение Советом заявок научно-технологического парка и его резидентов включает два этапа:</w:t>
      </w:r>
    </w:p>
    <w:p w:rsidR="00E2377D" w:rsidRDefault="00E2377D">
      <w:pPr>
        <w:pStyle w:val="ConsPlusNormal"/>
        <w:spacing w:before="220"/>
        <w:ind w:firstLine="540"/>
        <w:jc w:val="both"/>
      </w:pPr>
      <w:bookmarkStart w:id="3" w:name="P60"/>
      <w:bookmarkEnd w:id="3"/>
      <w:r>
        <w:t>8.1. распределение средств фонда по направлениям использования: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осуществление научно-технологическим парком мероприятий;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организация деятельности и развитие материально-технической базы научно-технологического парка, в том числе капитальные расходы;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реализация резидентами научно-технологического парка инновационных проектов;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8.2. конкурсный отбор инновационных проектов, выполняемых резидентами научно-технологического парка.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Заключение о целесообразности использования средств фонда в соответствии с направлениями, указанными в </w:t>
      </w:r>
      <w:hyperlink w:anchor="P60" w:history="1">
        <w:r>
          <w:rPr>
            <w:color w:val="0000FF"/>
          </w:rPr>
          <w:t>подпункте 8.1</w:t>
        </w:r>
      </w:hyperlink>
      <w:r>
        <w:t xml:space="preserve"> настоящего пункта, готовится Советом с учетом степени обоснованности представленных научно-технологическим парком (его резидентами) материалов в пределах объема средств сформированного фонда.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9. При проведении конкурсного отбора инновационных проектов применяются следующие критерии: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создание и внедрение новых технологий и (или) производство новой для Республики Беларусь и (или) мировой экономики продукции;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технологический уклад внедряемых технологий;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происхождение внедряемых технологий (отечественные, зарубежные);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планируемый объем производства инновационной продукции (работ, услуг);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планируемый удельный вес экспорта в общем объеме реализуемой продукции (работ, услуг);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срок окупаемости проекта и другие.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При определении уровня технологического уклада следует руководствоваться Методическими </w:t>
      </w:r>
      <w:hyperlink r:id="rId22" w:history="1">
        <w:r>
          <w:rPr>
            <w:color w:val="0000FF"/>
          </w:rPr>
          <w:t>рекомендациями</w:t>
        </w:r>
      </w:hyperlink>
      <w:r>
        <w:t xml:space="preserve"> по отнесению технологий к V и VI технологическим укладам, утвержденными приказом Государственного комитета по науке и технологиям Республики Беларусь от 6 июня 2017 г. N 166.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Научно-технологическим парком также могут устанавливаться иные критерии, не указанные в настоящих Методических рекомендациях.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При отборе инновационных проектов для финансирования за счет средств фонда приоритет имеют проекты: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базирующиеся на технологиях V и VI технологических укладов;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основанные на применении отечественных технологий.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10. Рекомендуется финансировать за счет средств фонда инновационные проекты, предусматривающие реализацию: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lastRenderedPageBreak/>
        <w:t>только подготовительного этапа (проведение исследований и доработка проекта) и (или) конструкторско-технологического этапа (разработка товара и (или) технологии, разработка опытного образца продукции) - на безвозвратной основе;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производственного этапа (освоение и подготовка производства) и (или) коммерческого этапа (производство и реализация товара) - как на безвозвратной основе, так и в виде займов.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Решение о форме финансирования за счет </w:t>
      </w:r>
      <w:proofErr w:type="gramStart"/>
      <w:r>
        <w:t>средств фонда</w:t>
      </w:r>
      <w:proofErr w:type="gramEnd"/>
      <w:r>
        <w:t xml:space="preserve"> выполняемых резидентами научно-технологического парка инновационных проектов (на безвозвратной основе или в виде займов) принимается научно-технологическим парком с учетом результатов рассмотрения Советом данного вопроса.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11. После рассмотрения Советом заявок научно-технологического парка и его резидентов, принятия решения о форме финансирования за счет </w:t>
      </w:r>
      <w:proofErr w:type="gramStart"/>
      <w:r>
        <w:t>средств фонда</w:t>
      </w:r>
      <w:proofErr w:type="gramEnd"/>
      <w:r>
        <w:t xml:space="preserve"> выполняемых резидентами научно-технологического парка инновационных проектов данным парком формируется и утверждается плановая смета расходов средств фонда.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12. При необходимости плановая смета расходов средств фонда может корректироваться в течение финансового года.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13. Финансирование выполняемых резидентами научно-технологического парка инновационных проектов за счет средств фонда осуществляется после утверждения плановой сметы расходов средств фонда на основании договоров о выделении средств фонда, заключаемых данным парком с его резидентами.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14. Выделение резиденту научно-технологического парка средств фонда в виде займа осуществляется в соответствии с </w:t>
      </w:r>
      <w:hyperlink r:id="rId23" w:history="1">
        <w:r>
          <w:rPr>
            <w:color w:val="0000FF"/>
          </w:rPr>
          <w:t>главой 42</w:t>
        </w:r>
      </w:hyperlink>
      <w:r>
        <w:t xml:space="preserve"> Гражданского кодекса Республики Беларусь.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15. Существенными условиями договора о выделении средств фонда, помимо условий, предусмотренных законодательством Республики Беларусь, являются: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сроки и условия выполнения резидентом инновационного проекта (его отдельных этапов);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обязанность резидента обеспечить целевое использование средств фонда (как на безвозвратной основе, так и в виде займов);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ответственность резидента за несоблюдение сроков и условий выполнения инновационного проекта (его отдельных этапов) по зависящим от него причинам;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ответственность резидента за нецелевое использование средств фонда.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В случае выделения резиденту средств фонда в виде займа в договоре о выделении средств фонда также предусматривается обязанность резидента выполнить условия возврата средств фонда (порядок, сроки и другие).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 xml:space="preserve">16. В случае нецелевого использования резидентом средств фонда данные средства по решению контролирующих (надзорных) органов подлежат возврату в соответствующий фонд с начислением процентов в размере </w:t>
      </w:r>
      <w:hyperlink r:id="rId24" w:history="1">
        <w:r>
          <w:rPr>
            <w:color w:val="0000FF"/>
          </w:rPr>
          <w:t>ставки</w:t>
        </w:r>
      </w:hyperlink>
      <w:r>
        <w:t xml:space="preserve"> рефинансирования, установленной Национальным банком на дату взыскания.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17. Остатки средств фонда на конец финансового года направляются на расходы этих фондов в следующем финансовом году.</w:t>
      </w:r>
    </w:p>
    <w:p w:rsidR="00E2377D" w:rsidRDefault="00E2377D">
      <w:pPr>
        <w:pStyle w:val="ConsPlusNormal"/>
        <w:spacing w:before="220"/>
        <w:ind w:firstLine="540"/>
        <w:jc w:val="both"/>
      </w:pPr>
      <w:r>
        <w:t>18. Иные условия, не предусмотренные в настоящих Методических рекомендациях, устанавливаются определяемым научно-технологическим парком порядком использования средств фонда с учетом требований законодательства Республики Беларусь.</w:t>
      </w:r>
    </w:p>
    <w:p w:rsidR="00E2377D" w:rsidRDefault="00E2377D">
      <w:pPr>
        <w:pStyle w:val="ConsPlusNormal"/>
        <w:ind w:firstLine="540"/>
        <w:jc w:val="both"/>
      </w:pPr>
    </w:p>
    <w:p w:rsidR="00E2377D" w:rsidRDefault="00E2377D">
      <w:pPr>
        <w:pStyle w:val="ConsPlusNormal"/>
        <w:ind w:firstLine="540"/>
        <w:jc w:val="both"/>
      </w:pPr>
    </w:p>
    <w:p w:rsidR="00E2377D" w:rsidRDefault="00E23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90E" w:rsidRDefault="00884427"/>
    <w:sectPr w:rsidR="00D5390E" w:rsidSect="00FC6825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27" w:rsidRDefault="00884427" w:rsidP="00FC6825">
      <w:pPr>
        <w:spacing w:after="0" w:line="240" w:lineRule="auto"/>
      </w:pPr>
      <w:r>
        <w:separator/>
      </w:r>
    </w:p>
  </w:endnote>
  <w:endnote w:type="continuationSeparator" w:id="0">
    <w:p w:rsidR="00884427" w:rsidRDefault="00884427" w:rsidP="00FC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27" w:rsidRDefault="00884427" w:rsidP="00FC6825">
      <w:pPr>
        <w:spacing w:after="0" w:line="240" w:lineRule="auto"/>
      </w:pPr>
      <w:r>
        <w:separator/>
      </w:r>
    </w:p>
  </w:footnote>
  <w:footnote w:type="continuationSeparator" w:id="0">
    <w:p w:rsidR="00884427" w:rsidRDefault="00884427" w:rsidP="00FC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85825"/>
      <w:docPartObj>
        <w:docPartGallery w:val="Page Numbers (Top of Page)"/>
        <w:docPartUnique/>
      </w:docPartObj>
    </w:sdtPr>
    <w:sdtContent>
      <w:p w:rsidR="00FC6825" w:rsidRDefault="00FC6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6825" w:rsidRDefault="00FC6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D"/>
    <w:rsid w:val="001B113F"/>
    <w:rsid w:val="002D3943"/>
    <w:rsid w:val="00592442"/>
    <w:rsid w:val="005A1BE3"/>
    <w:rsid w:val="0063744A"/>
    <w:rsid w:val="00715C53"/>
    <w:rsid w:val="00884427"/>
    <w:rsid w:val="00E12BDC"/>
    <w:rsid w:val="00E2377D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1AAC-2BDD-458D-B782-64D88DC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25"/>
  </w:style>
  <w:style w:type="paragraph" w:styleId="a5">
    <w:name w:val="footer"/>
    <w:basedOn w:val="a"/>
    <w:link w:val="a6"/>
    <w:uiPriority w:val="99"/>
    <w:unhideWhenUsed/>
    <w:rsid w:val="00FC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306B6ECC238E5D1CBC2254BD3DE6F6B4140BF34515874F65E34CDF3E06037E30E436806C5CBEF67470AF56x7N4M" TargetMode="External"/><Relationship Id="rId13" Type="http://schemas.openxmlformats.org/officeDocument/2006/relationships/hyperlink" Target="consultantplus://offline/ref=C17B306B6ECC238E5D1CBC2254BD3DE6F6B4140BF34515844363E84CDF3E06037E30E436806C5CBEF67470AF57x7N9M" TargetMode="External"/><Relationship Id="rId18" Type="http://schemas.openxmlformats.org/officeDocument/2006/relationships/hyperlink" Target="consultantplus://offline/ref=C17B306B6ECC238E5D1CBC2254BD3DE6F6B4140BF34515844363E84CDF3E06037E30E436806C5CBEF67470AF58x7N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7B306B6ECC238E5D1CBC2254BD3DE6F6B4140BF34515844363E84CDF3E06037E30E436806C5CBEF67470AF58x7N1M" TargetMode="External"/><Relationship Id="rId7" Type="http://schemas.openxmlformats.org/officeDocument/2006/relationships/hyperlink" Target="consultantplus://offline/ref=C17B306B6ECC238E5D1CBC2254BD3DE6F6B4140BF34515844367EA4CDF3E06037E30E436806C5CBEF67470AE55x7N5M" TargetMode="External"/><Relationship Id="rId12" Type="http://schemas.openxmlformats.org/officeDocument/2006/relationships/hyperlink" Target="consultantplus://offline/ref=C17B306B6ECC238E5D1CBC2254BD3DE6F6B4140BF34515874F65E34CDF3E06037E30E436806C5CBEF67470AF52x7N8M" TargetMode="External"/><Relationship Id="rId17" Type="http://schemas.openxmlformats.org/officeDocument/2006/relationships/hyperlink" Target="consultantplus://offline/ref=C17B306B6ECC238E5D1CBC2254BD3DE6F6B4140BF34515814165E34CDF3E06037E30E436806C5CBEF67473A759x7N0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B306B6ECC238E5D1CBC2254BD3DE6F6B4140BF34517824160EB4CDF3E06037E30xEN4M" TargetMode="External"/><Relationship Id="rId20" Type="http://schemas.openxmlformats.org/officeDocument/2006/relationships/hyperlink" Target="consultantplus://offline/ref=C17B306B6ECC238E5D1CBC2254BD3DE6F6B4140BF34517824160EB4CDF3E06037E30E436806C5CBEF67470AF59x7N5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17B306B6ECC238E5D1CBC2254BD3DE6F6B4140BF34515874F65E34CDF3E06037E30E436806C5CBEF67470AF56x7N4M" TargetMode="External"/><Relationship Id="rId24" Type="http://schemas.openxmlformats.org/officeDocument/2006/relationships/hyperlink" Target="consultantplus://offline/ref=C17B306B6ECC238E5D1CBC2254BD3DE6F6B4140BF34611864264E111D5365F0F7Cx3N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7B306B6ECC238E5D1CBC2254BD3DE6F6B4140BF34517824160EB4CDF3E06037E30E436806C5CBEF67470AF59x7N5M" TargetMode="External"/><Relationship Id="rId23" Type="http://schemas.openxmlformats.org/officeDocument/2006/relationships/hyperlink" Target="consultantplus://offline/ref=C17B306B6ECC238E5D1CBC2254BD3DE6F6B4140BF3451B854265EB4CDF3E06037E30E436806C5CBEF67473AB50x7N3M" TargetMode="External"/><Relationship Id="rId10" Type="http://schemas.openxmlformats.org/officeDocument/2006/relationships/hyperlink" Target="consultantplus://offline/ref=C17B306B6ECC238E5D1CBC2254BD3DE6F6B4140BF34515844367EA4CDF3E06037E30E436806C5CBEF67470AE55x7N5M" TargetMode="External"/><Relationship Id="rId19" Type="http://schemas.openxmlformats.org/officeDocument/2006/relationships/hyperlink" Target="consultantplus://offline/ref=C17B306B6ECC238E5D1CBC2254BD3DE6F6B4140BF34517824160EB4CDF3E06037E30E436806C5CBEF67470AF58x7N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7B306B6ECC238E5D1CBC2254BD3DE6F6B4140BF34515874F65E34CDF3E06037E30E436806C5CBEF67470AF52x7N8M" TargetMode="External"/><Relationship Id="rId14" Type="http://schemas.openxmlformats.org/officeDocument/2006/relationships/hyperlink" Target="consultantplus://offline/ref=C17B306B6ECC238E5D1CBC2254BD3DE6F6B4140BF34517824160EB4CDF3E06037E30E436806C5CBEF67470AF58x7N7M" TargetMode="External"/><Relationship Id="rId22" Type="http://schemas.openxmlformats.org/officeDocument/2006/relationships/hyperlink" Target="consultantplus://offline/ref=C17B306B6ECC238E5D1CBC2254BD3DE6F6B4140BF34516804563EC4CDF3E06037E30E436806C5CBEF67470AE50x7N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2</cp:revision>
  <dcterms:created xsi:type="dcterms:W3CDTF">2019-08-15T12:13:00Z</dcterms:created>
  <dcterms:modified xsi:type="dcterms:W3CDTF">2019-08-15T12:44:00Z</dcterms:modified>
</cp:coreProperties>
</file>